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B7" w:rsidRPr="00AF1896" w:rsidRDefault="006554B7" w:rsidP="00AF1896">
      <w:pPr>
        <w:spacing w:after="0" w:line="240" w:lineRule="auto"/>
        <w:textAlignment w:val="baseline"/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</w:pPr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To</w:t>
      </w:r>
      <w:bookmarkStart w:id="0" w:name="_GoBack"/>
      <w:bookmarkEnd w:id="0"/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 xml:space="preserve">dos los vehículos </w:t>
      </w:r>
      <w:r w:rsidRPr="00AF1896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matriculados</w:t>
      </w:r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 xml:space="preserve"> tienen la obligación de estar asegurados. Existen distintas modalidades </w:t>
      </w:r>
      <w:r w:rsidRPr="00AF1896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 xml:space="preserve">de seguro </w:t>
      </w:r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con diversas cober</w:t>
      </w:r>
      <w:r w:rsidRPr="00AF1896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turas, por lo que conviene estar bien asesorado</w:t>
      </w:r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 xml:space="preserve"> para saber qué garantías tenemos en nuestro seguro y </w:t>
      </w:r>
      <w:r w:rsidRPr="00AF1896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cuáles son las que más se ajustan a nuestras necesidades</w:t>
      </w:r>
      <w:r w:rsidRPr="002152D0">
        <w:rPr>
          <w:rFonts w:ascii="Verdana" w:eastAsia="Times New Roman" w:hAnsi="Verdana" w:cs="Arial"/>
          <w:bCs/>
          <w:sz w:val="21"/>
          <w:szCs w:val="21"/>
          <w:bdr w:val="none" w:sz="0" w:space="0" w:color="auto" w:frame="1"/>
          <w:lang w:eastAsia="es-ES"/>
        </w:rPr>
        <w:t>.</w:t>
      </w:r>
    </w:p>
    <w:p w:rsidR="006554B7" w:rsidRPr="00AF1896" w:rsidRDefault="006554B7" w:rsidP="00AF1896">
      <w:pPr>
        <w:shd w:val="clear" w:color="auto" w:fill="FFFFFF"/>
        <w:spacing w:after="300" w:line="324" w:lineRule="atLeast"/>
        <w:rPr>
          <w:rFonts w:ascii="Verdana" w:eastAsia="Times New Roman" w:hAnsi="Verdana" w:cs="Arial"/>
          <w:color w:val="444444"/>
          <w:lang w:eastAsia="es-ES"/>
        </w:rPr>
      </w:pPr>
    </w:p>
    <w:p w:rsidR="006554B7" w:rsidRPr="006554B7" w:rsidRDefault="006554B7" w:rsidP="006554B7">
      <w:pPr>
        <w:shd w:val="clear" w:color="auto" w:fill="FFFFFF"/>
        <w:spacing w:after="300" w:line="324" w:lineRule="atLeast"/>
        <w:rPr>
          <w:rFonts w:ascii="Verdana" w:eastAsia="Times New Roman" w:hAnsi="Verdana" w:cs="Arial"/>
          <w:sz w:val="21"/>
          <w:szCs w:val="21"/>
          <w:lang w:eastAsia="es-ES"/>
        </w:rPr>
      </w:pP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>En general, la legislación de la mayoría de los países distingue al respecto entre:</w:t>
      </w:r>
    </w:p>
    <w:p w:rsidR="006554B7" w:rsidRPr="006554B7" w:rsidRDefault="006554B7" w:rsidP="006554B7">
      <w:pPr>
        <w:numPr>
          <w:ilvl w:val="0"/>
          <w:numId w:val="1"/>
        </w:numPr>
        <w:shd w:val="clear" w:color="auto" w:fill="FFFFFF"/>
        <w:spacing w:after="225" w:line="324" w:lineRule="atLeast"/>
        <w:ind w:left="300"/>
        <w:rPr>
          <w:rFonts w:ascii="Verdana" w:eastAsia="Times New Roman" w:hAnsi="Verdana" w:cs="Arial"/>
          <w:sz w:val="21"/>
          <w:szCs w:val="21"/>
          <w:lang w:eastAsia="es-ES"/>
        </w:rPr>
      </w:pPr>
      <w:r w:rsidRPr="006554B7">
        <w:rPr>
          <w:rFonts w:ascii="Verdana" w:eastAsia="Times New Roman" w:hAnsi="Verdana" w:cs="Arial"/>
          <w:b/>
          <w:bCs/>
          <w:sz w:val="21"/>
          <w:szCs w:val="21"/>
          <w:u w:val="single"/>
          <w:lang w:eastAsia="es-ES"/>
        </w:rPr>
        <w:t>Seguro obligatorio</w:t>
      </w: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>, destinado normalmente a la cobertura, dentro de los límites legalmente establecidos, de los daños personales o materiales causados a terceras personas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1"/>
          <w:szCs w:val="21"/>
          <w:lang w:eastAsia="es-ES"/>
        </w:rPr>
      </w:pP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 xml:space="preserve"> </w:t>
      </w:r>
      <w:r w:rsidR="00AF1896">
        <w:rPr>
          <w:rFonts w:ascii="Verdana" w:eastAsia="Times New Roman" w:hAnsi="Verdana" w:cs="Arial"/>
          <w:sz w:val="21"/>
          <w:szCs w:val="21"/>
          <w:lang w:eastAsia="es-ES"/>
        </w:rPr>
        <w:t xml:space="preserve">1 </w:t>
      </w: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 xml:space="preserve"> </w:t>
      </w:r>
      <w:r w:rsidRPr="006554B7">
        <w:rPr>
          <w:rFonts w:ascii="Verdana" w:eastAsia="Times New Roman" w:hAnsi="Verdana" w:cs="Arial"/>
          <w:b/>
          <w:sz w:val="21"/>
          <w:szCs w:val="21"/>
          <w:lang w:eastAsia="es-ES"/>
        </w:rPr>
        <w:t>Responsabilidad Civil de Suscripción Obligatoria</w:t>
      </w: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>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1"/>
          <w:szCs w:val="21"/>
          <w:lang w:eastAsia="es-ES"/>
        </w:rPr>
      </w:pP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>Cubre lo establecido por la ley en cuanto a las lesiones y los daños producidos a terceros por el vehículo asegurado.</w:t>
      </w:r>
    </w:p>
    <w:p w:rsidR="006554B7" w:rsidRPr="006554B7" w:rsidRDefault="006554B7" w:rsidP="006554B7">
      <w:pPr>
        <w:numPr>
          <w:ilvl w:val="0"/>
          <w:numId w:val="1"/>
        </w:numPr>
        <w:shd w:val="clear" w:color="auto" w:fill="FFFFFF"/>
        <w:spacing w:after="225" w:line="324" w:lineRule="atLeast"/>
        <w:ind w:left="300"/>
        <w:rPr>
          <w:rFonts w:ascii="Arial" w:eastAsia="Times New Roman" w:hAnsi="Arial" w:cs="Arial"/>
          <w:color w:val="444444"/>
          <w:sz w:val="20"/>
          <w:szCs w:val="20"/>
          <w:lang w:eastAsia="es-ES"/>
        </w:rPr>
      </w:pPr>
      <w:r w:rsidRPr="006554B7">
        <w:rPr>
          <w:rFonts w:ascii="Verdana" w:eastAsia="Times New Roman" w:hAnsi="Verdana" w:cs="Arial"/>
          <w:b/>
          <w:bCs/>
          <w:sz w:val="21"/>
          <w:szCs w:val="21"/>
          <w:u w:val="single"/>
          <w:lang w:eastAsia="es-ES"/>
        </w:rPr>
        <w:t>Seguro voluntario</w:t>
      </w:r>
      <w:r w:rsidRPr="006554B7">
        <w:rPr>
          <w:rFonts w:ascii="Verdana" w:eastAsia="Times New Roman" w:hAnsi="Verdana" w:cs="Arial"/>
          <w:sz w:val="21"/>
          <w:szCs w:val="21"/>
          <w:lang w:eastAsia="es-ES"/>
        </w:rPr>
        <w:t xml:space="preserve">, que cubre el exceso de los límites del seguro obligatorio, así como otras garantías a que se hace </w:t>
      </w:r>
      <w:proofErr w:type="gramStart"/>
      <w:r w:rsidRPr="006554B7">
        <w:rPr>
          <w:rFonts w:ascii="Verdana" w:eastAsia="Times New Roman" w:hAnsi="Verdana" w:cs="Arial"/>
          <w:sz w:val="21"/>
          <w:szCs w:val="21"/>
          <w:lang w:eastAsia="es-ES"/>
        </w:rPr>
        <w:t>referencia</w:t>
      </w:r>
      <w:r w:rsidRPr="006554B7">
        <w:rPr>
          <w:rFonts w:ascii="Arial" w:eastAsia="Times New Roman" w:hAnsi="Arial" w:cs="Arial"/>
          <w:sz w:val="21"/>
          <w:szCs w:val="21"/>
          <w:lang w:eastAsia="es-ES"/>
        </w:rPr>
        <w:t xml:space="preserve"> </w:t>
      </w:r>
      <w:r w:rsidRPr="006554B7">
        <w:rPr>
          <w:rFonts w:ascii="Arial" w:eastAsia="Times New Roman" w:hAnsi="Arial" w:cs="Arial"/>
          <w:color w:val="444444"/>
          <w:sz w:val="21"/>
          <w:szCs w:val="21"/>
          <w:lang w:eastAsia="es-ES"/>
        </w:rPr>
        <w:t>.</w:t>
      </w:r>
      <w:proofErr w:type="gramEnd"/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>1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Responsabilidad Civil Suplementaria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Cobertura complementaria de la Responsabilidad Civil de Suscripción Obligatoria ampliada hasta la cuantía de 50.000.000 de euros</w:t>
      </w:r>
      <w:proofErr w:type="gramStart"/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..</w:t>
      </w:r>
      <w:proofErr w:type="gramEnd"/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2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Defensa Jurídica y Reclamación de Daños.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Cubre (con las limitaciones establecidas en el Condicionado General) la asistencia jurídica, judicial y extrajudicial y el pago de los gastos ocasionados para la defensa jurídica del asegurado en procedimientos administrativos, judiciales y arbitrales derivados de accidente de circulación con el vehículo asegurado: - Defensa penal. Fianzas. Asistencia. Defensa jurídica y costas.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3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Seguro del conductor.</w:t>
      </w:r>
    </w:p>
    <w:p w:rsidR="00AF1896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Pago de las indemnizaciones por fallecimiento, invalidez permanente y asistencia sanitaria del conductor, como consecuencia de un accidente de circulación del vehículo asegurado. 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4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Asistencia en Viaje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Desde el Km. 0 prestaciones por contingencias del vehículo (inmovilización del vehículo por avería mecánica, accidentes de circulación o robo del vehículo y sus piezas y otros complementarias respecto a los ocupantes del vehículo).</w:t>
      </w:r>
    </w:p>
    <w:p w:rsidR="006554B7" w:rsidRPr="006554B7" w:rsidRDefault="006554B7" w:rsidP="006554B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Symbol" w:cs="Times New Roman"/>
          <w:sz w:val="21"/>
          <w:szCs w:val="21"/>
          <w:lang w:eastAsia="es-ES"/>
        </w:rPr>
        <w:t xml:space="preserve">5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Riesgos Extraordinarios (daños personales y materiales)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Reclamación al Consorcio de Compensación de Seguros por los daños personales que pueda </w:t>
      </w:r>
      <w:r w:rsidR="00AF1896" w:rsidRPr="006554B7">
        <w:rPr>
          <w:rFonts w:ascii="Verdana" w:eastAsia="Times New Roman" w:hAnsi="Verdana" w:cs="Times New Roman"/>
          <w:sz w:val="21"/>
          <w:szCs w:val="21"/>
          <w:lang w:eastAsia="es-ES"/>
        </w:rPr>
        <w:t>sufrir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el asegurado a consecuencia de determinadas 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lastRenderedPageBreak/>
        <w:t>catástrofes naturales, terrorismo o actuaciones en tiempos de paz de las Fuerzas Armadas y los Cuerpos de Seguridad del Estado.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Reclamación al Consorcio de Compensación de Seguros por los daños que pueda </w:t>
      </w:r>
      <w:r w:rsidR="00AF1896" w:rsidRPr="006554B7">
        <w:rPr>
          <w:rFonts w:ascii="Verdana" w:eastAsia="Times New Roman" w:hAnsi="Verdana" w:cs="Times New Roman"/>
          <w:sz w:val="21"/>
          <w:szCs w:val="21"/>
          <w:lang w:eastAsia="es-ES"/>
        </w:rPr>
        <w:t>sufrir</w:t>
      </w: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el vehículo asegurado a consecuencia de determinadas catástrofes naturales, terrorismo o actuaciones en tiempos de paz de las Fuerzas Armadas y los Cuerpos de Seguridad del Estado.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Symbol" w:cs="Times New Roman"/>
          <w:sz w:val="21"/>
          <w:szCs w:val="21"/>
          <w:lang w:eastAsia="es-ES"/>
        </w:rPr>
        <w:t xml:space="preserve">6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Incendio del vehículo.</w:t>
      </w:r>
    </w:p>
    <w:p w:rsidR="00AF1896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Cubre los daños que pueda sufrir el vehículo asegurado a consecuencia de un incendio, cortocircuito o combustión (si se producen por efecto de la electricidad). Incluye los gastos de traslado del remolque, gastos de extracción del vehículo y gastos de extinción del incendio con las limitaciones establecidas en el Condicionado General. 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Symbol" w:cs="Times New Roman"/>
          <w:sz w:val="21"/>
          <w:szCs w:val="21"/>
          <w:lang w:eastAsia="es-ES"/>
        </w:rPr>
        <w:t xml:space="preserve">7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Rotura de parabrisas y lunas.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Cubre la indemnización por la rotura parcial o total de las lunas del vehículo asegurado siempre que sea por una causa exterior, violenta e instantánea y ajena a la voluntad del asegurado o del conductor, hallándose el vehículo en circulación, reposo o durante su transporte.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8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Robo del vehículo.</w:t>
      </w:r>
    </w:p>
    <w:p w:rsidR="00AF1896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 xml:space="preserve">Indemnización por los daños derivados de la sustracción ilegítima del vehículo por parte de terceros (sustracción del vehículo, piezas o daños producidos en y durante el robo). 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9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Limpieza del vehículo por traslado de heridos.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Se garantiza el pago de los gastos de limpieza y acondicionamiento del vehículo asegurado, por los desperfectos ocasionados por el transporte de heridos a un centro sanitario.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10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Defensa en Multas de tráfico.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Tramitación de recursos en vía administrativa y ejecutiva al Conductor Habitual, Tomador (Persona Física) y Propietario (en los casos establecidos en el Condicionado General) por infracciones al Reglamento General de Circulación, Ley sobre Tráfico, Circulación de Vehículos a Motor y Seguridad Vial frente a denuncias y sanciones impuestas por las Jefaturas Provinciales de Tráfico u Organismos de Tráfico de las Comunidades Autónomas y Ayuntamientos.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Presentación, en nombre y por cuenta del asegurado, de los escritos de alegaciones y recursos considerados oportunos ante el Organismo competente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t xml:space="preserve">11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Subsidio por privación del permiso de conducir.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Pago de una indemnización al asegurado cuando haya sido privado de su permiso de conducir por sentencia o resolución administrativa firme con los límites establecidos en el Condicionado General. Cubre indemnización en el caso de realización de cursos de recuperación parcial de puntos.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sz w:val="21"/>
          <w:szCs w:val="21"/>
          <w:lang w:eastAsia="es-ES"/>
        </w:rPr>
        <w:lastRenderedPageBreak/>
        <w:t xml:space="preserve">12 </w:t>
      </w:r>
      <w:r w:rsidRPr="006554B7">
        <w:rPr>
          <w:rFonts w:ascii="Verdana" w:eastAsia="Times New Roman" w:hAnsi="Verdana" w:cs="Times New Roman"/>
          <w:b/>
          <w:sz w:val="21"/>
          <w:szCs w:val="21"/>
          <w:lang w:eastAsia="es-ES"/>
        </w:rPr>
        <w:t>Daños propios.</w:t>
      </w:r>
    </w:p>
    <w:p w:rsidR="006554B7" w:rsidRPr="006554B7" w:rsidRDefault="006554B7" w:rsidP="00655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554B7">
        <w:rPr>
          <w:rFonts w:ascii="Verdana" w:eastAsia="Times New Roman" w:hAnsi="Verdana" w:cs="Times New Roman"/>
          <w:sz w:val="21"/>
          <w:szCs w:val="21"/>
          <w:lang w:eastAsia="es-ES"/>
        </w:rPr>
        <w:t>En caso de pérdida total, la indemnización será el 100% sobre el valor de nuevo el primer y segundo año de matriculación, al primer propietario, y el 80% el tercer año. El resto de años se indemniza sobre el valor de mercado. Incluye granizo y circulación por vías no aptas.</w:t>
      </w:r>
    </w:p>
    <w:p w:rsidR="00971129" w:rsidRDefault="00971129"/>
    <w:sectPr w:rsidR="00971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DCB"/>
    <w:multiLevelType w:val="multilevel"/>
    <w:tmpl w:val="A15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B7"/>
    <w:rsid w:val="006554B7"/>
    <w:rsid w:val="00971129"/>
    <w:rsid w:val="00A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8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2016-11-22T10:52:00Z</dcterms:created>
  <dcterms:modified xsi:type="dcterms:W3CDTF">2016-11-22T11:11:00Z</dcterms:modified>
</cp:coreProperties>
</file>